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FE" w:rsidRPr="006A2BFE" w:rsidRDefault="006A2BFE" w:rsidP="006A2BFE">
      <w:pPr>
        <w:pStyle w:val="1"/>
        <w:ind w:left="480"/>
        <w:rPr>
          <w:rFonts w:cs="Times New Roman"/>
          <w:b w:val="0"/>
          <w:color w:val="auto"/>
        </w:rPr>
      </w:pPr>
      <w:r w:rsidRPr="006A2BFE">
        <w:rPr>
          <w:rFonts w:cs="Times New Roman"/>
          <w:b w:val="0"/>
          <w:color w:val="auto"/>
        </w:rPr>
        <w:t xml:space="preserve">Лекция 3 </w:t>
      </w:r>
    </w:p>
    <w:p w:rsidR="006A2BFE" w:rsidRPr="006A2BFE" w:rsidRDefault="006A2BFE" w:rsidP="006A2BFE">
      <w:pPr>
        <w:pStyle w:val="1"/>
        <w:ind w:left="480"/>
        <w:rPr>
          <w:rFonts w:cs="Times New Roman"/>
          <w:b w:val="0"/>
          <w:color w:val="auto"/>
        </w:rPr>
      </w:pPr>
      <w:r w:rsidRPr="006A2BFE">
        <w:rPr>
          <w:rFonts w:cs="Times New Roman"/>
          <w:b w:val="0"/>
          <w:color w:val="auto"/>
        </w:rPr>
        <w:t>Тема: «Организация инновационной деятельности»</w:t>
      </w:r>
    </w:p>
    <w:p w:rsidR="006A2BFE" w:rsidRPr="006A2BFE" w:rsidRDefault="006A2BFE" w:rsidP="006A2BFE">
      <w:pPr>
        <w:spacing w:after="0" w:line="360" w:lineRule="auto"/>
        <w:jc w:val="both"/>
        <w:rPr>
          <w:rFonts w:ascii="Times New Roman" w:hAnsi="Times New Roman" w:cs="Times New Roman"/>
          <w:sz w:val="28"/>
          <w:szCs w:val="28"/>
        </w:rPr>
      </w:pP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1. Цели инновационной деятельности. Развитие инновационного потенциала.</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2. Динамическое моделирование бизнеса.</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3. Модель пяти рыночных факторов по М. Портеру.</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1. Цели инновационной деятельности. Развитие инновационного потенциала.</w:t>
      </w:r>
    </w:p>
    <w:p w:rsidR="006A2BFE" w:rsidRPr="006A2BFE" w:rsidRDefault="006A2BFE" w:rsidP="006A2BFE">
      <w:pPr>
        <w:pStyle w:val="a3"/>
        <w:spacing w:before="150" w:beforeAutospacing="0" w:after="150" w:afterAutospacing="0"/>
        <w:ind w:left="150" w:right="150"/>
        <w:jc w:val="both"/>
        <w:rPr>
          <w:color w:val="444444"/>
          <w:sz w:val="28"/>
          <w:szCs w:val="28"/>
        </w:rPr>
      </w:pP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Развитие любой хозяйственной системы включает инновационные составляющие, преобразующие производственную сферу. К их числу относят технику нового типа, передовые технологии, соответствующие им организацию труда и производства, изменяющуюся мотивацию и предпринимательство. Инновационный тип развития хозяйствующих субъектов характеризуется:</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новаторскими стратегическими и тактическими целями;</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использованием новейшей техники и передовых технологий на основе новой организации и мотивации труда;</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ресурсными и организационно-управленческими возможностями.</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 xml:space="preserve">Инновации - это магистральный путь, обеспечивающий постоянный рост и процветание компании. Питер </w:t>
      </w:r>
      <w:proofErr w:type="spellStart"/>
      <w:r w:rsidRPr="006A2BFE">
        <w:rPr>
          <w:color w:val="444444"/>
          <w:sz w:val="28"/>
          <w:szCs w:val="28"/>
        </w:rPr>
        <w:t>Друкер</w:t>
      </w:r>
      <w:proofErr w:type="spellEnd"/>
      <w:r w:rsidRPr="006A2BFE">
        <w:rPr>
          <w:color w:val="444444"/>
          <w:sz w:val="28"/>
          <w:szCs w:val="28"/>
        </w:rPr>
        <w:t xml:space="preserve"> в книге "Практика менеджмента" отмечает: "Целью любого предприятия является создание потребителя, любое предприятие имеет две (и только эти две) основные функции: маркетинг и инновации".</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Маркетинг - это уникальная функция бизнеса. Предприятие может существовать только в такой экономической среде, в которой перемены естественны и желанны. Второй функцией является инновация. Инновацией может быть поиск и внедрение новых применений для привычных продуктов, методов обеспечения сбыта или управления, нововведение в подготовке менеджеров, предоставление более качественных и дешевых товаров и услуг.</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lastRenderedPageBreak/>
        <w:t>Инновации касаются всех форм предпринимательской деятельности. Это одинаково важно как для промышленных предприятий, так и для банка, страховой компании или туристской фирмы и других организаций.</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 xml:space="preserve">Определение целей. При определении целей инноваций </w:t>
      </w:r>
      <w:proofErr w:type="gramStart"/>
      <w:r w:rsidRPr="006A2BFE">
        <w:rPr>
          <w:color w:val="444444"/>
          <w:sz w:val="28"/>
          <w:szCs w:val="28"/>
        </w:rPr>
        <w:t>самое</w:t>
      </w:r>
      <w:proofErr w:type="gramEnd"/>
      <w:r w:rsidRPr="006A2BFE">
        <w:rPr>
          <w:color w:val="444444"/>
          <w:sz w:val="28"/>
          <w:szCs w:val="28"/>
        </w:rPr>
        <w:t xml:space="preserve"> сложное состоит в прогнозировании последствий и значимости различных новшеств. Без сомнения желательно достичь технологического лидерства, однако всегда сложно определить, что важнее: сотня незначительных, но применимых немедленно усовершенствований продукта или одна фундаментальная разработка, которая через несколько лет в корне изменит природу бизнеса. Предприниматели ответят на этот вопрос по-разному. Предприятие в условиях жесткой конкуренции на рынке за потребителя должно одновременно работать над товарами (услугами) уже существующими и перспективными.</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В организационной схеме предприятия инновация не может считаться отдельной от маркетинга функцией. Инновационный процесс распространяется на весь бизнес, на все его функции и виды деятельности, включая и сам маркетинг. Чтобы определить инновационные цели, во-первых, необходимо прогнозировать потребности рынка, во-вторых, учитывать обстоятельства, возникающие или могущие возникнуть в связи с технологическим прогрессом во всех сферах бизнеса.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Типичными инновационными целями компании могут быть: новые продукты и услуги; усовершенствование продукта и производственного процесса; внедрение новшеств во всех видах организационной и управленческой деятельности.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Инновации, внедряемые в компании, можно классифицировать как организационные, предполагающие развитие компании; технические, вызванные внедрением передовых технологий; продуктовые, связанные с ассортиментом и качеством продукта; управленческие, требующие совершенствования методов управления компанией; маркетинговые; социальные, связанные с полезностью для потребителя и сотрудников компании; экономические и финансовые, направленные на улучшение устойчивости компании.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Сознательный упор на инновации больше всего необходим там, где технологические изменения наименее эффективны. Например, развитие и выживание страховой компании зависит от введения новых форм страхования, видоизменения существующих и постоянного поиска лучших и более дешевых способов продавать страховые полисы и улаживать претензии.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Установление инновационных целей необходимо для всех компаний независимо от их размера. В небольшой компании проще проанализировать потребности и цели, чем в крупной, однако это не означает, что в малом бизнесе инновационных целей меньше - просто их </w:t>
      </w:r>
      <w:r w:rsidRPr="006A2BFE">
        <w:rPr>
          <w:color w:val="444444"/>
          <w:sz w:val="28"/>
          <w:szCs w:val="28"/>
        </w:rPr>
        <w:lastRenderedPageBreak/>
        <w:t>легче установить. Одно из преимуществ небольших компаний - сравнительная простота планирования инноваций. Небольшая компания достаточно близка к рынку и поэтому быстрее узнает, какие новые продукты необходимы. Сотрудники таких предприятий внимательно следят за любыми усовершенствованиями, которые можно эффективно использовать.</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Для того чтобы определять цели компании, необходимо разработать инновационную политику. К ее основным принципам можно отнести: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обеспечение увеличения спроса на продукты и услуги постоянных и потенциальных клиентов через освоение принципиально новых видов или улучшенных товаров и услуг, а также расширение сферы сбыта;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непрерывное развитие инновационного потенциала предприятия (постоянное обучение и </w:t>
      </w:r>
      <w:proofErr w:type="spellStart"/>
      <w:r w:rsidRPr="006A2BFE">
        <w:rPr>
          <w:color w:val="444444"/>
          <w:sz w:val="28"/>
          <w:szCs w:val="28"/>
        </w:rPr>
        <w:t>самоисследование</w:t>
      </w:r>
      <w:proofErr w:type="spellEnd"/>
      <w:r w:rsidRPr="006A2BFE">
        <w:rPr>
          <w:color w:val="444444"/>
          <w:sz w:val="28"/>
          <w:szCs w:val="28"/>
        </w:rPr>
        <w:t>) и создание условий, необходимых для реализации новшеств;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комплексный подход, когда технические, экономические, социальные инновации тесно взаимосвязаны между собой и взаимно продвигают друг друга;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мобилизация персонала;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экономическое стимулирование работников;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учет рисков (чем выше риск, тем выше потенциальный экономический эффект от реализации инновации).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Нововведение должно быть ориентировано на более полное удовлетворение потребностей клиентов компании в условиях постоянно меняющейся рыночной конъюнктуры. Каждый производимый продукт следует рассматривать как объект постоянных изменений. Однако решение о внедрении инновации не всегда означает ликвидацию старого продукта. Инновацию порождает и стремление продлить жизненный цикл продукта, совершенствуя его характеристики. Такая инновация сводится к модификации или внедрению новой функции уже существующего продукта. При разработке нового или улучшении существующего продукта (услуги) главными составляющими элементами являются его преимущества по сравнению с аналогичными продуктами и возможными продуктами-заменителями; целевой сегмент рынка; развитие и возможные изменения систем сбыта; общие затраты на разработку, производство и сбыт.</w:t>
      </w:r>
    </w:p>
    <w:p w:rsidR="006A2BFE" w:rsidRPr="006A2BFE" w:rsidRDefault="006A2BFE" w:rsidP="006A2BFE">
      <w:pPr>
        <w:pStyle w:val="a3"/>
        <w:spacing w:before="150" w:beforeAutospacing="0" w:after="150" w:afterAutospacing="0"/>
        <w:ind w:left="150" w:right="150"/>
        <w:rPr>
          <w:color w:val="444444"/>
          <w:sz w:val="28"/>
          <w:szCs w:val="28"/>
        </w:rPr>
      </w:pPr>
      <w:proofErr w:type="gramStart"/>
      <w:r w:rsidRPr="006A2BFE">
        <w:rPr>
          <w:color w:val="444444"/>
          <w:sz w:val="28"/>
          <w:szCs w:val="28"/>
        </w:rPr>
        <w:t xml:space="preserve">Эти элементы позволяют оценить коммерческие перспективы разрабатываемых продуктов с разных точек зрения: рыночной (потребности в новом продукте, уровень конкуренции, степень стабильности рынка и глубина его сегментации); товарной (технические характеристики нового продукта, цена, дизайн, оформление); сбытовой (состояние и возможности существующих систем сбыта, открытие новых </w:t>
      </w:r>
      <w:r w:rsidRPr="006A2BFE">
        <w:rPr>
          <w:color w:val="444444"/>
          <w:sz w:val="28"/>
          <w:szCs w:val="28"/>
        </w:rPr>
        <w:lastRenderedPageBreak/>
        <w:t>каналов продвижения, реклама, совместимость нового продукта с ассортиментом уже производимого);</w:t>
      </w:r>
      <w:proofErr w:type="gramEnd"/>
      <w:r w:rsidRPr="006A2BFE">
        <w:rPr>
          <w:color w:val="444444"/>
          <w:sz w:val="28"/>
          <w:szCs w:val="28"/>
        </w:rPr>
        <w:t xml:space="preserve"> производственной (состояние производственного оборудования, профессионализм и уровень квалификации работников предприятия, ресурсы и материальное обеспечение).</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Развитие инновационного потенциала. Предпринимательство неразрывно связано с управлением инновациями и рисками. Основные функции менеджмента (планирование, организация, оперативное управление, использование персонала, экономический контроль) должны быть ориентированы на стратегию развития, постоянные изменения внутри предпринимательских структур, на адаптацию к окружающей среде. В этом случае можно обеспечить получение устойчивого оптимального размера предпринимательского дохода.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Успех инновационного менеджмента предполагает соблюдение определенных принципов. На начальной стадии предпочтительно вкладывать средства в небольшие сконцентрированные проекты, для выполнения которых создаются независимые специальные подразделения. Они обеспечивают формирование и развитие постоянной инновационной ориентации работников предприятия, проводят исследования конкурирующих товаров и отраслевых тенденций их развития, регулярно информируют руководство предприятия о перспективах появления новых товаров и услуг на рынке, оценивают коммерческие перспективы разрабатываемого нового продукта в условиях конкурентной среды.</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Успешность инновации во многом зависит от времени выхода на рынок с новым товаром. Совсем небольшое запоздание по сравнению с соперником или отсутствие рыночной ниши могут привести к тому, что ситуация для компании осложнится.</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Стремясь к непрерывному совершенствованию, компания осуществляет периодические инновации, которые могут давать явные конкурентные преимущества, несмотря на </w:t>
      </w:r>
      <w:proofErr w:type="gramStart"/>
      <w:r w:rsidRPr="006A2BFE">
        <w:rPr>
          <w:color w:val="444444"/>
          <w:sz w:val="28"/>
          <w:szCs w:val="28"/>
        </w:rPr>
        <w:t>то</w:t>
      </w:r>
      <w:proofErr w:type="gramEnd"/>
      <w:r w:rsidRPr="006A2BFE">
        <w:rPr>
          <w:color w:val="444444"/>
          <w:sz w:val="28"/>
          <w:szCs w:val="28"/>
        </w:rPr>
        <w:t xml:space="preserve"> что они часто сопряжены с большими издержками и значительным риском. Исследование рынка здесь особо не поможет. Периодические или прерывистые инновации не всегда способствуют оптимизации производственного процесса, так как они касаются его отдельных стадий. Более того, они могут негативно сказаться на практических результатах работы не только в кратковременной, но и в долгосрочной перспективе.</w:t>
      </w:r>
    </w:p>
    <w:p w:rsidR="006A2BFE" w:rsidRPr="006A2BFE" w:rsidRDefault="006A2BFE" w:rsidP="006A2BFE">
      <w:pPr>
        <w:pStyle w:val="a3"/>
        <w:spacing w:before="150" w:beforeAutospacing="0" w:after="150" w:afterAutospacing="0"/>
        <w:ind w:left="150" w:right="150"/>
        <w:jc w:val="both"/>
        <w:rPr>
          <w:color w:val="444444"/>
          <w:sz w:val="28"/>
          <w:szCs w:val="28"/>
        </w:rPr>
      </w:pPr>
      <w:r w:rsidRPr="006A2BFE">
        <w:rPr>
          <w:color w:val="444444"/>
          <w:sz w:val="28"/>
          <w:szCs w:val="28"/>
        </w:rPr>
        <w:t>3. Модель пяти рыночных факторов по М. Портеру.</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Теория конкуренции Майкла Портера говорит о том, что на рынке существует пять движущих сил, которые определяют возможный уровень прибыли на рынке. Каждая сила в модели Майкла Портера представляет собой отдельный уровень конкурентоспособности товара: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lastRenderedPageBreak/>
        <w:t>рыночная власть покупателей</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рыночная власть поставщиков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угроза вторжения новых участников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опасность появления товаров — заменителей</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уровень конкурентной борьбы или внутриотраслевая конкуренция</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Майкл Портер считал, что данные элементы рынка являются движущими силами рыночной конкуренции, что и легло в название модели – модель пяти сил конкуренции по Портеру.</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Рис.1 Матрица конкуренции Майкла Портера (внешний вид модели пяти сил Портера)</w:t>
      </w:r>
      <w:bookmarkStart w:id="0" w:name="_GoBack"/>
      <w:bookmarkEnd w:id="0"/>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Porter5sil</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Практическое использование модели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Конкурентный анализ отрасли по Майклу Портеру помогает определить интенсивность и выраженность конкурентных сил в отрасли, найти такую позицию, в которой компания будет максимально защищена от влияния конкурентных сил и сможет со своей стороны оказывать влияние на них.</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Золотое правило теории пяти сил конкуренции Майкла Портера заключается следующем: чем слабее влияние конкурентных сил, тем больше </w:t>
      </w:r>
      <w:proofErr w:type="gramStart"/>
      <w:r w:rsidRPr="006A2BFE">
        <w:rPr>
          <w:color w:val="444444"/>
          <w:sz w:val="28"/>
          <w:szCs w:val="28"/>
        </w:rPr>
        <w:t>возможностей к получению</w:t>
      </w:r>
      <w:proofErr w:type="gramEnd"/>
      <w:r w:rsidRPr="006A2BFE">
        <w:rPr>
          <w:color w:val="444444"/>
          <w:sz w:val="28"/>
          <w:szCs w:val="28"/>
        </w:rPr>
        <w:t xml:space="preserve"> высокой прибыли в отрасли имеет компания. И наоборот, чем выше влияние конкурентных сил, тем выше вероятность, что ни одна компания не в состоянии будет обеспечить высокую прибыльность от капиталовложений. А средняя прибыльность отрасли определяется наиболее влиятельными конкурентными силами.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Модель пяти сил используется наиболее часто в стратегическом управлении, а в </w:t>
      </w:r>
      <w:proofErr w:type="spellStart"/>
      <w:r w:rsidRPr="006A2BFE">
        <w:rPr>
          <w:color w:val="444444"/>
          <w:sz w:val="28"/>
          <w:szCs w:val="28"/>
        </w:rPr>
        <w:t>марктеинге</w:t>
      </w:r>
      <w:proofErr w:type="spellEnd"/>
      <w:r w:rsidRPr="006A2BFE">
        <w:rPr>
          <w:color w:val="444444"/>
          <w:sz w:val="28"/>
          <w:szCs w:val="28"/>
        </w:rPr>
        <w:t xml:space="preserve"> она удобна для следующих направлений работ:</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Угрозы для роста компании, обнаруженные с помощью модели анализа конкуренции Портера, помогают при проведении SWOT-анализа компании.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Модель пяти сил конкуренции Майкла Портера помогает в составлении подробного конкурентного анализа и анализа рынка.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Вы знакомы с теоретической частью и интересуетесь только практическим применением?</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Рекомендуем перейти к статье «Пример анализа пяти конкурентных сил модели Майкла Портера», в которой описана пошаговая инструкция </w:t>
      </w:r>
      <w:r w:rsidRPr="006A2BFE">
        <w:rPr>
          <w:color w:val="444444"/>
          <w:sz w:val="28"/>
          <w:szCs w:val="28"/>
        </w:rPr>
        <w:lastRenderedPageBreak/>
        <w:t xml:space="preserve">использования модели конкуренции пяти сил на практике. К статье прилагается удобный шаблон в формате </w:t>
      </w:r>
      <w:proofErr w:type="spellStart"/>
      <w:r w:rsidRPr="006A2BFE">
        <w:rPr>
          <w:color w:val="444444"/>
          <w:sz w:val="28"/>
          <w:szCs w:val="28"/>
        </w:rPr>
        <w:t>Excel</w:t>
      </w:r>
      <w:proofErr w:type="spellEnd"/>
      <w:r w:rsidRPr="006A2BFE">
        <w:rPr>
          <w:color w:val="444444"/>
          <w:sz w:val="28"/>
          <w:szCs w:val="28"/>
        </w:rPr>
        <w:t>.</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Первая сила: Угроза вторжения новых игроков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Почему новые игроки представляют опасность? Обычно новые игроки привносят на рынок новые производственные мощности, новые технологии, новые ресурсы, что может являться потрясением для отрасли, изменять поведения потребителей, задавать новые стандарты работы для существующих игроков.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Сила влияния новых игроков зависит от входных барьеров отрасли и скорости влияния существующих игроков рынка. Если барьеры входа в отрасль высоки и уровень противодействия существующих в отрасли компаний высок, то влияние новых претендентов на прибыль в отрасли будет минимальным. Поэтому при работе с новыми игроками важно правильно выстроить выходные барьеры.</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Портер выделяет шесть основных факторов, влияющих на силу барьеров входа в отрасль:</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Экономия на масштабе</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Чем больше объем производства, тем ниже затраты на производство 1 единицы продукции, тем сложнее новому игроку достичь высокой рентабельности при выходе на рынок.</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Дифференциация продукта и сила существующих торговых марок</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Чем выше разнообразие товаров и услуг в отрасли, тем сложнее новым игрокам вступить на рынок и занять свободную нишу.</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Потребность в капитале</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Чем выше начальный уровень инвестиций для вступления в отрасль, тем сложнее войти в отрасль новым игрокам.</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Высокие постоянные издержки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Чем выше уровень постоянных затрат в отрасли, тем сложнее новым игрокам получить прибыль от продаж </w:t>
      </w:r>
      <w:proofErr w:type="gramStart"/>
      <w:r w:rsidRPr="006A2BFE">
        <w:rPr>
          <w:color w:val="444444"/>
          <w:sz w:val="28"/>
          <w:szCs w:val="28"/>
        </w:rPr>
        <w:t>на</w:t>
      </w:r>
      <w:proofErr w:type="gramEnd"/>
      <w:r w:rsidRPr="006A2BFE">
        <w:rPr>
          <w:color w:val="444444"/>
          <w:sz w:val="28"/>
          <w:szCs w:val="28"/>
        </w:rPr>
        <w:t xml:space="preserve"> начальном периода входа в отрасль.</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Доступ к каналам распределения</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Чем сложнее добраться до целевой аудитории на рынке, тем ниже привлекательность отрасли.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Политика правительства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lastRenderedPageBreak/>
        <w:t>Чем выше ограничения, накладываемые государством на деятельности в отрасли, чем жестче регламентируемые требования к продукту в отрасли, чем выше участие государства в отрасли, тем ниже ее привлекательность для новых игроков.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Дополнительные угрозы</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Существуют также дополнительные угрозы входа в отрасль для новых игроков, к ним относятся: готовность и возможность существующих игроков снизить цены для удержания доли рынка; наличие у существующих игроков дополнительного, резервного потенциала для активного противодействия (незадействованные источники финансирования, дополнительные производственные мощности, связи с каналами распределения, наличие свободных сре</w:t>
      </w:r>
      <w:proofErr w:type="gramStart"/>
      <w:r w:rsidRPr="006A2BFE">
        <w:rPr>
          <w:color w:val="444444"/>
          <w:sz w:val="28"/>
          <w:szCs w:val="28"/>
        </w:rPr>
        <w:t>дств дл</w:t>
      </w:r>
      <w:proofErr w:type="gramEnd"/>
      <w:r w:rsidRPr="006A2BFE">
        <w:rPr>
          <w:color w:val="444444"/>
          <w:sz w:val="28"/>
          <w:szCs w:val="28"/>
        </w:rPr>
        <w:t>я усиления рекламного давления и т.п.), а также замедление темпов роста в отрасли или отрицательные темпы роста.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Вторая сила: Рыночная власть покупателей</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Покупатели могут оказывать влияние на конкурентоспособность товара компании на рынке, так как по факту являются потребителями готового товара и обеспечивают за счет удовлетворения своих потребностей существование рынка. Компания при разработке стратегии должна выбирать тех покупателей, которые являются наименее влиятельными на рынке.</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Потребители могут ужесточать конкуренцию за счет предъявления более высоких требований к качеству товара, к уровню сервиса, оказывать давление на уровень цен. Более высокие требования, предъявляемые к готовому товару, заставляют производителей отрасли повышать качество производимого продукта за счет увеличения издержек (более качественное сырье, дополнительные условия обслуживания и т.д.), а, следовательно, сокращать свой уровень прибыли.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Условия роста влияния покупателей</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Покупатели сконцентрированы и совершают закупки в больших масштабах. В таких условиях компания будет вынуждена постоянно идти на уступки покупателям для обеспечения гарантированного дохода и прибыли.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Товары, реализуемые на рынке, не обладают уникальностью; и покупатель может свободно переключаться между ними, не неся дополнительных рисков.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lastRenderedPageBreak/>
        <w:t>Покупатели демонстрируют высокую чувствительность к цене, и имеют высокую потребность снизить уровень своих затрат в будущем.</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Продукты, закупаемые в отрасли, являются сырьем для другой отрасли. Поэтому покупатели будут склонны снижать издержки закупки и искать более выгодные предложения для снижения себестоимости своей готовой продукции.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Потребители не </w:t>
      </w:r>
      <w:proofErr w:type="gramStart"/>
      <w:r w:rsidRPr="006A2BFE">
        <w:rPr>
          <w:color w:val="444444"/>
          <w:sz w:val="28"/>
          <w:szCs w:val="28"/>
        </w:rPr>
        <w:t>удовлетворены качеством существующего на рынке товара имеют</w:t>
      </w:r>
      <w:proofErr w:type="gramEnd"/>
      <w:r w:rsidRPr="006A2BFE">
        <w:rPr>
          <w:color w:val="444444"/>
          <w:sz w:val="28"/>
          <w:szCs w:val="28"/>
        </w:rPr>
        <w:t xml:space="preserve"> скрытую или явную потребность в новых условиях и свойствах.</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Третья сила: Рыночная власть поставщиков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Поставщики могут оказывать влияние на конкурентоспособность товара компании на рынке, так как являются владельцами ресурсов для производства товаров отрасли. Рост цен на сырье и заключение сделок на невыгодных для компании условиях приводит к росту себестоимости готовой продукции, росту издержек производства. В случае невозможности повышения розничных цен на готовые товары на сопоставимом с ростом сырья уровне — в отрасли снижается прибыльность от реализации товаров или услуг.</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Условия роста влияния поставщиков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Существует 4 ситуации, в которых поставщики получают высокий уровень влияния на прибыль компании: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Количество поставщиков в отрасли незначительно. Крайний случай: существует монополия или олигополия на рынке.</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Объем ресурсов, который производят поставщики, ограничен в объеме и во времени, не обеспечивает потребность рынка.</w:t>
      </w:r>
    </w:p>
    <w:p w:rsidR="006A2BFE" w:rsidRPr="006A2BFE" w:rsidRDefault="006A2BFE" w:rsidP="006A2BFE">
      <w:pPr>
        <w:pStyle w:val="a3"/>
        <w:spacing w:before="150" w:beforeAutospacing="0" w:after="150" w:afterAutospacing="0"/>
        <w:ind w:left="150" w:right="150"/>
        <w:rPr>
          <w:color w:val="444444"/>
          <w:sz w:val="28"/>
          <w:szCs w:val="28"/>
        </w:rPr>
      </w:pPr>
      <w:proofErr w:type="gramStart"/>
      <w:r w:rsidRPr="006A2BFE">
        <w:rPr>
          <w:color w:val="444444"/>
          <w:sz w:val="28"/>
          <w:szCs w:val="28"/>
        </w:rPr>
        <w:t>Издержки переключения на альтернативных поставщиков высоки (что</w:t>
      </w:r>
      <w:proofErr w:type="gramEnd"/>
      <w:r w:rsidRPr="006A2BFE">
        <w:rPr>
          <w:color w:val="444444"/>
          <w:sz w:val="28"/>
          <w:szCs w:val="28"/>
        </w:rPr>
        <w:t xml:space="preserve"> может быть связано с уникальностью сырья, или с существующими обязательствами перед поставщиками).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Отрасль не является приоритетной для поставщиков и реализация в ней своих ресурсов не обеспечивает значимой доходности и дохода для поставщика.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Четвертая сила: Появление товаров-заменителей</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lastRenderedPageBreak/>
        <w:t>Товары-заменители (или товары-</w:t>
      </w:r>
      <w:proofErr w:type="spellStart"/>
      <w:r w:rsidRPr="006A2BFE">
        <w:rPr>
          <w:color w:val="444444"/>
          <w:sz w:val="28"/>
          <w:szCs w:val="28"/>
        </w:rPr>
        <w:t>сбституты</w:t>
      </w:r>
      <w:proofErr w:type="spellEnd"/>
      <w:r w:rsidRPr="006A2BFE">
        <w:rPr>
          <w:color w:val="444444"/>
          <w:sz w:val="28"/>
          <w:szCs w:val="28"/>
        </w:rPr>
        <w:t>) ограничивают потенциал рынка с точки зрения роста цен. Обычно товары-заменители оказывают влияние на установление верхней границы рыночных цен, что в условиях роста издержек производства и сырья снижает рентабельность компаний. Пока игроки рынка не смогут повысить качество продукции и дифференцировать свой товар от товаров-заменителей – в отрасли будет иметь место невысокая прибыль и ограниченный рост рынка.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Особую угрозу для роста и прибыли компании предоставляют следующие виды товаров: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Товары-заменители, способные обеспечить лучшее соотношение «цена-качество». Такие товары при отсутствии высокого уровня дифференциации будут всегда стимулировать потребителя к переключению.</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Товары-заменители, производимые крупными игроками, имеющими высокие прибыли на альтернативных рынках и способные иметь на существующем рынке менее прибыльный бизнес.</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Самый эффективный метод борьбы с товарами-заменителями – построение сильной торговой марки: четкая дифференциация и дополнительные преимущества от потребления товара компании, борьба со стандартизацией товара, технологические усовершенствования, формирование лояльности к продукту.</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Пятая сила: Внутриотраслевая конкуренция</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Соперничество среди существующих конкурентов сводится к стремлению любыми силами улучшить свое положение на рынке, завоевать потребителей рынка. Интенсивная конкуренция приводит к ценовой конкуренции, увеличению затрат на продвижение товара, иногда к повышению качества продукции, увеличению инвестиций в новые разработки. Все это снижает прибыльность отрасли.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Уровень интенсивности конкуренции высок или растет </w:t>
      </w:r>
      <w:proofErr w:type="gramStart"/>
      <w:r w:rsidRPr="006A2BFE">
        <w:rPr>
          <w:color w:val="444444"/>
          <w:sz w:val="28"/>
          <w:szCs w:val="28"/>
        </w:rPr>
        <w:t>при</w:t>
      </w:r>
      <w:proofErr w:type="gramEnd"/>
      <w:r w:rsidRPr="006A2BFE">
        <w:rPr>
          <w:color w:val="444444"/>
          <w:sz w:val="28"/>
          <w:szCs w:val="28"/>
        </w:rPr>
        <w:t xml:space="preserve"> наличие в отрасли следующих условий:</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Большое количество игроков и их равенство в объемах продаж.</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Невысокий рост (или падение) рынка, что приводит к постоянному переделу рынка, захвату доли рынка друг у друга.</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Низкая дифференциация и стандартизация продукта в отрасли создает для потребителя бесконечное количество альтернатив, приводит к постоянному переключению потребителя от одного игрока к другому, </w:t>
      </w:r>
      <w:r w:rsidRPr="006A2BFE">
        <w:rPr>
          <w:color w:val="444444"/>
          <w:sz w:val="28"/>
          <w:szCs w:val="28"/>
        </w:rPr>
        <w:lastRenderedPageBreak/>
        <w:t>обеспечивает высокий уровень нестабильности будущих доходов и прибыли.</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 xml:space="preserve">Продукция относится к разряду скоропортящихся продуктов, что подстегивает снижения цен и не предоставляет возможности </w:t>
      </w:r>
      <w:proofErr w:type="gramStart"/>
      <w:r w:rsidRPr="006A2BFE">
        <w:rPr>
          <w:color w:val="444444"/>
          <w:sz w:val="28"/>
          <w:szCs w:val="28"/>
        </w:rPr>
        <w:t>в</w:t>
      </w:r>
      <w:proofErr w:type="gramEnd"/>
      <w:r w:rsidRPr="006A2BFE">
        <w:rPr>
          <w:color w:val="444444"/>
          <w:sz w:val="28"/>
          <w:szCs w:val="28"/>
        </w:rPr>
        <w:t xml:space="preserve"> замораживанию товарных остатков.</w:t>
      </w:r>
    </w:p>
    <w:p w:rsidR="006A2BFE" w:rsidRPr="006A2BFE" w:rsidRDefault="006A2BFE" w:rsidP="006A2BFE">
      <w:pPr>
        <w:pStyle w:val="a3"/>
        <w:spacing w:before="150" w:beforeAutospacing="0" w:after="150" w:afterAutospacing="0"/>
        <w:ind w:left="150" w:right="150"/>
        <w:rPr>
          <w:color w:val="444444"/>
          <w:sz w:val="28"/>
          <w:szCs w:val="28"/>
        </w:rPr>
      </w:pPr>
      <w:r w:rsidRPr="006A2BFE">
        <w:rPr>
          <w:color w:val="444444"/>
          <w:sz w:val="28"/>
          <w:szCs w:val="28"/>
        </w:rPr>
        <w:t>Высокие барьеры выхода из отрасли заставляют существовать игроков с низкой рентабельностью, создают избыток производственных мощностей на рынке.</w:t>
      </w:r>
    </w:p>
    <w:p w:rsidR="00F267CC" w:rsidRPr="006A2BFE" w:rsidRDefault="00F267CC"/>
    <w:sectPr w:rsidR="00F267CC" w:rsidRPr="006A2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3761E"/>
    <w:multiLevelType w:val="multilevel"/>
    <w:tmpl w:val="F2A42696"/>
    <w:lvl w:ilvl="0">
      <w:start w:val="1"/>
      <w:numFmt w:val="decimal"/>
      <w:lvlText w:val="%1"/>
      <w:lvlJc w:val="left"/>
      <w:pPr>
        <w:ind w:left="432" w:hanging="432"/>
      </w:pPr>
    </w:lvl>
    <w:lvl w:ilvl="1">
      <w:start w:val="1"/>
      <w:numFmt w:val="decimal"/>
      <w:lvlText w:val="%1.%2"/>
      <w:lvlJc w:val="left"/>
      <w:pPr>
        <w:ind w:left="270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916"/>
    <w:rsid w:val="00086A85"/>
    <w:rsid w:val="00397916"/>
    <w:rsid w:val="00647360"/>
    <w:rsid w:val="006A2BFE"/>
    <w:rsid w:val="00944F91"/>
    <w:rsid w:val="00A14A3C"/>
    <w:rsid w:val="00E3100E"/>
    <w:rsid w:val="00F2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FE"/>
    <w:pPr>
      <w:spacing w:after="160" w:line="259" w:lineRule="auto"/>
      <w:ind w:firstLine="0"/>
      <w:jc w:val="left"/>
    </w:pPr>
    <w:rPr>
      <w:rFonts w:asciiTheme="minorHAnsi" w:hAnsiTheme="minorHAnsi" w:cstheme="minorBidi"/>
      <w:sz w:val="22"/>
      <w:szCs w:val="22"/>
    </w:rPr>
  </w:style>
  <w:style w:type="paragraph" w:styleId="1">
    <w:name w:val="heading 1"/>
    <w:basedOn w:val="a"/>
    <w:next w:val="a"/>
    <w:link w:val="10"/>
    <w:uiPriority w:val="9"/>
    <w:qFormat/>
    <w:rsid w:val="00647360"/>
    <w:pPr>
      <w:keepNext/>
      <w:keepLines/>
      <w:spacing w:before="480"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autoRedefine/>
    <w:uiPriority w:val="9"/>
    <w:unhideWhenUsed/>
    <w:qFormat/>
    <w:rsid w:val="00647360"/>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rsid w:val="00647360"/>
    <w:pPr>
      <w:keepNext/>
      <w:keepLines/>
      <w:spacing w:before="200" w:after="0" w:line="360" w:lineRule="auto"/>
      <w:jc w:val="both"/>
      <w:outlineLvl w:val="2"/>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60"/>
    <w:rPr>
      <w:rFonts w:eastAsiaTheme="majorEastAsia" w:cstheme="majorBidi"/>
      <w:b/>
      <w:bCs/>
      <w:color w:val="000000" w:themeColor="text1"/>
    </w:rPr>
  </w:style>
  <w:style w:type="character" w:customStyle="1" w:styleId="20">
    <w:name w:val="Заголовок 2 Знак"/>
    <w:basedOn w:val="a0"/>
    <w:link w:val="2"/>
    <w:uiPriority w:val="9"/>
    <w:rsid w:val="00647360"/>
    <w:rPr>
      <w:rFonts w:eastAsiaTheme="majorEastAsia" w:cstheme="majorBidi"/>
      <w:b/>
      <w:bCs/>
      <w:color w:val="000000" w:themeColor="text1"/>
      <w:szCs w:val="26"/>
    </w:rPr>
  </w:style>
  <w:style w:type="character" w:customStyle="1" w:styleId="30">
    <w:name w:val="Заголовок 3 Знак"/>
    <w:basedOn w:val="a0"/>
    <w:link w:val="3"/>
    <w:uiPriority w:val="9"/>
    <w:rsid w:val="00647360"/>
    <w:rPr>
      <w:rFonts w:eastAsiaTheme="majorEastAsia" w:cstheme="majorBidi"/>
      <w:b/>
      <w:bCs/>
      <w:color w:val="000000" w:themeColor="text1"/>
    </w:rPr>
  </w:style>
  <w:style w:type="paragraph" w:styleId="a3">
    <w:name w:val="Normal (Web)"/>
    <w:basedOn w:val="a"/>
    <w:uiPriority w:val="99"/>
    <w:semiHidden/>
    <w:unhideWhenUsed/>
    <w:rsid w:val="006A2B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FE"/>
    <w:pPr>
      <w:spacing w:after="160" w:line="259" w:lineRule="auto"/>
      <w:ind w:firstLine="0"/>
      <w:jc w:val="left"/>
    </w:pPr>
    <w:rPr>
      <w:rFonts w:asciiTheme="minorHAnsi" w:hAnsiTheme="minorHAnsi" w:cstheme="minorBidi"/>
      <w:sz w:val="22"/>
      <w:szCs w:val="22"/>
    </w:rPr>
  </w:style>
  <w:style w:type="paragraph" w:styleId="1">
    <w:name w:val="heading 1"/>
    <w:basedOn w:val="a"/>
    <w:next w:val="a"/>
    <w:link w:val="10"/>
    <w:uiPriority w:val="9"/>
    <w:qFormat/>
    <w:rsid w:val="00647360"/>
    <w:pPr>
      <w:keepNext/>
      <w:keepLines/>
      <w:spacing w:before="480" w:after="0" w:line="360" w:lineRule="auto"/>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autoRedefine/>
    <w:uiPriority w:val="9"/>
    <w:unhideWhenUsed/>
    <w:qFormat/>
    <w:rsid w:val="00647360"/>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rsid w:val="00647360"/>
    <w:pPr>
      <w:keepNext/>
      <w:keepLines/>
      <w:spacing w:before="200" w:after="0" w:line="360" w:lineRule="auto"/>
      <w:jc w:val="both"/>
      <w:outlineLvl w:val="2"/>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60"/>
    <w:rPr>
      <w:rFonts w:eastAsiaTheme="majorEastAsia" w:cstheme="majorBidi"/>
      <w:b/>
      <w:bCs/>
      <w:color w:val="000000" w:themeColor="text1"/>
    </w:rPr>
  </w:style>
  <w:style w:type="character" w:customStyle="1" w:styleId="20">
    <w:name w:val="Заголовок 2 Знак"/>
    <w:basedOn w:val="a0"/>
    <w:link w:val="2"/>
    <w:uiPriority w:val="9"/>
    <w:rsid w:val="00647360"/>
    <w:rPr>
      <w:rFonts w:eastAsiaTheme="majorEastAsia" w:cstheme="majorBidi"/>
      <w:b/>
      <w:bCs/>
      <w:color w:val="000000" w:themeColor="text1"/>
      <w:szCs w:val="26"/>
    </w:rPr>
  </w:style>
  <w:style w:type="character" w:customStyle="1" w:styleId="30">
    <w:name w:val="Заголовок 3 Знак"/>
    <w:basedOn w:val="a0"/>
    <w:link w:val="3"/>
    <w:uiPriority w:val="9"/>
    <w:rsid w:val="00647360"/>
    <w:rPr>
      <w:rFonts w:eastAsiaTheme="majorEastAsia" w:cstheme="majorBidi"/>
      <w:b/>
      <w:bCs/>
      <w:color w:val="000000" w:themeColor="text1"/>
    </w:rPr>
  </w:style>
  <w:style w:type="paragraph" w:styleId="a3">
    <w:name w:val="Normal (Web)"/>
    <w:basedOn w:val="a"/>
    <w:uiPriority w:val="99"/>
    <w:semiHidden/>
    <w:unhideWhenUsed/>
    <w:rsid w:val="006A2B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2755</Words>
  <Characters>15704</Characters>
  <Application>Microsoft Office Word</Application>
  <DocSecurity>0</DocSecurity>
  <Lines>130</Lines>
  <Paragraphs>36</Paragraphs>
  <ScaleCrop>false</ScaleCrop>
  <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2019-05-16T06:28:00Z</dcterms:created>
  <dcterms:modified xsi:type="dcterms:W3CDTF">2019-05-16T06:35:00Z</dcterms:modified>
</cp:coreProperties>
</file>